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6"/>
      </w:tblGrid>
      <w:tr w:rsidR="004F754C" w:rsidTr="00FB42BF">
        <w:tc>
          <w:tcPr>
            <w:tcW w:w="3964" w:type="dxa"/>
          </w:tcPr>
          <w:p w:rsidR="004F754C" w:rsidRDefault="004F754C" w:rsidP="004F754C">
            <w:pPr>
              <w:widowControl w:val="0"/>
              <w:jc w:val="center"/>
              <w:rPr>
                <w:color w:val="706F00"/>
              </w:rPr>
            </w:pPr>
            <w:r w:rsidRPr="008015B2">
              <w:t>UBND XÃ EA RỐK</w:t>
            </w:r>
          </w:p>
        </w:tc>
        <w:tc>
          <w:tcPr>
            <w:tcW w:w="5386" w:type="dxa"/>
          </w:tcPr>
          <w:p w:rsidR="004F754C" w:rsidRDefault="004F754C" w:rsidP="00FB42BF">
            <w:pPr>
              <w:widowControl w:val="0"/>
              <w:rPr>
                <w:color w:val="706F00"/>
              </w:rPr>
            </w:pPr>
            <w:r w:rsidRPr="00314CC6">
              <w:rPr>
                <w:b/>
                <w:sz w:val="24"/>
                <w:szCs w:val="24"/>
              </w:rPr>
              <w:t>CỘNG HOÀ XÃ HỘI CHỦ NGHĨA VIỆT NAM</w:t>
            </w:r>
          </w:p>
        </w:tc>
      </w:tr>
      <w:tr w:rsidR="004F754C" w:rsidTr="00FB42BF">
        <w:tc>
          <w:tcPr>
            <w:tcW w:w="3964" w:type="dxa"/>
          </w:tcPr>
          <w:p w:rsidR="004F754C" w:rsidRDefault="004F754C" w:rsidP="004F754C">
            <w:pPr>
              <w:widowControl w:val="0"/>
              <w:jc w:val="center"/>
              <w:rPr>
                <w:color w:val="706F00"/>
              </w:rPr>
            </w:pPr>
            <w:r w:rsidRPr="00314CC6">
              <w:rPr>
                <w:noProof/>
                <w:szCs w:val="24"/>
              </w:rPr>
              <mc:AlternateContent>
                <mc:Choice Requires="wps">
                  <w:drawing>
                    <wp:anchor distT="0" distB="0" distL="114300" distR="114300" simplePos="0" relativeHeight="251659264" behindDoc="0" locked="0" layoutInCell="1" allowOverlap="1" wp14:anchorId="25300975" wp14:editId="3EE7A492">
                      <wp:simplePos x="0" y="0"/>
                      <wp:positionH relativeFrom="column">
                        <wp:posOffset>471170</wp:posOffset>
                      </wp:positionH>
                      <wp:positionV relativeFrom="paragraph">
                        <wp:posOffset>177165</wp:posOffset>
                      </wp:positionV>
                      <wp:extent cx="838200" cy="0"/>
                      <wp:effectExtent l="9525" t="6350" r="952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BFA0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13.95pt" to="103.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NyGw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"/>
                  </w:pict>
                </mc:Fallback>
              </mc:AlternateContent>
            </w:r>
            <w:r w:rsidRPr="00314CC6">
              <w:rPr>
                <w:b/>
                <w:sz w:val="24"/>
                <w:szCs w:val="24"/>
              </w:rPr>
              <w:t>TRƯỜNG MN HOA PHƯỢNG</w:t>
            </w:r>
          </w:p>
        </w:tc>
        <w:tc>
          <w:tcPr>
            <w:tcW w:w="5386" w:type="dxa"/>
          </w:tcPr>
          <w:p w:rsidR="004F754C" w:rsidRDefault="004F754C" w:rsidP="00FB42BF">
            <w:pPr>
              <w:widowControl w:val="0"/>
              <w:rPr>
                <w:color w:val="706F00"/>
              </w:rPr>
            </w:pPr>
            <w:r>
              <w:rPr>
                <w:sz w:val="24"/>
                <w:szCs w:val="24"/>
              </w:rPr>
              <w:t xml:space="preserve">             </w:t>
            </w:r>
            <w:r w:rsidRPr="00314CC6">
              <w:rPr>
                <w:b/>
                <w:sz w:val="24"/>
                <w:szCs w:val="24"/>
              </w:rPr>
              <w:t>Độc lập - Tự do - Hạnh phúc</w:t>
            </w:r>
          </w:p>
        </w:tc>
      </w:tr>
      <w:tr w:rsidR="004F754C" w:rsidTr="00FB42BF">
        <w:tc>
          <w:tcPr>
            <w:tcW w:w="3964" w:type="dxa"/>
          </w:tcPr>
          <w:p w:rsidR="004F754C" w:rsidRPr="00314CC6" w:rsidRDefault="004F754C" w:rsidP="00FB42BF">
            <w:pPr>
              <w:widowControl w:val="0"/>
              <w:spacing w:before="60"/>
              <w:rPr>
                <w:b/>
                <w:sz w:val="24"/>
                <w:szCs w:val="24"/>
              </w:rPr>
            </w:pPr>
            <w:r w:rsidRPr="00314CC6">
              <w:rPr>
                <w:sz w:val="24"/>
                <w:szCs w:val="24"/>
              </w:rPr>
              <w:t>Số</w:t>
            </w:r>
            <w:r>
              <w:rPr>
                <w:sz w:val="24"/>
                <w:szCs w:val="24"/>
              </w:rPr>
              <w:t xml:space="preserve">:     </w:t>
            </w:r>
            <w:r w:rsidRPr="00314CC6">
              <w:rPr>
                <w:sz w:val="24"/>
                <w:szCs w:val="24"/>
              </w:rPr>
              <w:t xml:space="preserve"> /BC -MNHP</w:t>
            </w:r>
          </w:p>
        </w:tc>
        <w:tc>
          <w:tcPr>
            <w:tcW w:w="5386" w:type="dxa"/>
          </w:tcPr>
          <w:p w:rsidR="004F754C" w:rsidRPr="00314CC6" w:rsidRDefault="004F754C" w:rsidP="00FB42BF">
            <w:pPr>
              <w:pStyle w:val="NormalWeb"/>
              <w:widowControl w:val="0"/>
              <w:spacing w:before="60" w:beforeAutospacing="0" w:after="0" w:afterAutospacing="0"/>
              <w:jc w:val="both"/>
              <w:rPr>
                <w:color w:val="706F00"/>
              </w:rPr>
            </w:pPr>
            <w:r w:rsidRPr="00314CC6">
              <w:rPr>
                <w:noProof/>
              </w:rPr>
              <mc:AlternateContent>
                <mc:Choice Requires="wps">
                  <w:drawing>
                    <wp:anchor distT="0" distB="0" distL="114300" distR="114300" simplePos="0" relativeHeight="251660288" behindDoc="0" locked="0" layoutInCell="1" allowOverlap="1" wp14:anchorId="57A1516D" wp14:editId="62BD9B03">
                      <wp:simplePos x="0" y="0"/>
                      <wp:positionH relativeFrom="column">
                        <wp:posOffset>490855</wp:posOffset>
                      </wp:positionH>
                      <wp:positionV relativeFrom="paragraph">
                        <wp:posOffset>-17780</wp:posOffset>
                      </wp:positionV>
                      <wp:extent cx="176212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0AD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5pt,-1.4pt" to="177.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"/>
                  </w:pict>
                </mc:Fallback>
              </mc:AlternateContent>
            </w:r>
            <w:r>
              <w:rPr>
                <w:i/>
              </w:rPr>
              <w:t xml:space="preserve">                 </w:t>
            </w:r>
            <w:r w:rsidRPr="00314CC6">
              <w:rPr>
                <w:i/>
              </w:rPr>
              <w:t xml:space="preserve">Ea Rốk, ngày  </w:t>
            </w:r>
            <w:r>
              <w:rPr>
                <w:i/>
              </w:rPr>
              <w:t xml:space="preserve">   </w:t>
            </w:r>
            <w:r w:rsidRPr="00314CC6">
              <w:rPr>
                <w:i/>
              </w:rPr>
              <w:t xml:space="preserve">  tháng </w:t>
            </w:r>
            <w:r>
              <w:rPr>
                <w:i/>
              </w:rPr>
              <w:t>01 năm 2026</w:t>
            </w:r>
          </w:p>
        </w:tc>
      </w:tr>
    </w:tbl>
    <w:p w:rsidR="004F754C" w:rsidRDefault="004F754C" w:rsidP="004F754C">
      <w:pPr>
        <w:spacing w:before="60" w:after="60" w:line="240" w:lineRule="auto"/>
        <w:jc w:val="center"/>
        <w:outlineLvl w:val="0"/>
        <w:rPr>
          <w:rFonts w:eastAsia="Times New Roman" w:cs="Times New Roman"/>
          <w:b/>
          <w:bCs/>
          <w:kern w:val="36"/>
          <w:sz w:val="28"/>
          <w:szCs w:val="28"/>
        </w:rPr>
      </w:pPr>
    </w:p>
    <w:p w:rsidR="004F754C" w:rsidRPr="004F754C" w:rsidRDefault="004F754C" w:rsidP="004F754C">
      <w:pPr>
        <w:spacing w:before="60" w:after="60" w:line="240" w:lineRule="auto"/>
        <w:jc w:val="center"/>
        <w:outlineLvl w:val="0"/>
        <w:rPr>
          <w:rFonts w:eastAsia="Times New Roman" w:cs="Times New Roman"/>
          <w:b/>
          <w:bCs/>
          <w:kern w:val="36"/>
          <w:sz w:val="28"/>
          <w:szCs w:val="28"/>
        </w:rPr>
      </w:pPr>
      <w:r w:rsidRPr="004F754C">
        <w:rPr>
          <w:rFonts w:eastAsia="Times New Roman" w:cs="Times New Roman"/>
          <w:b/>
          <w:bCs/>
          <w:kern w:val="36"/>
          <w:sz w:val="28"/>
          <w:szCs w:val="28"/>
        </w:rPr>
        <w:t>BÁO CÁO</w:t>
      </w:r>
    </w:p>
    <w:p w:rsidR="004F754C" w:rsidRPr="004F754C" w:rsidRDefault="004F754C" w:rsidP="004F754C">
      <w:pPr>
        <w:spacing w:before="60" w:after="60" w:line="240" w:lineRule="auto"/>
        <w:jc w:val="center"/>
        <w:outlineLvl w:val="1"/>
        <w:rPr>
          <w:rFonts w:eastAsia="Times New Roman" w:cs="Times New Roman"/>
          <w:b/>
          <w:bCs/>
          <w:sz w:val="28"/>
          <w:szCs w:val="28"/>
        </w:rPr>
      </w:pPr>
      <w:r w:rsidRPr="004F754C">
        <w:rPr>
          <w:rFonts w:eastAsia="Times New Roman" w:cs="Times New Roman"/>
          <w:b/>
          <w:bCs/>
          <w:sz w:val="28"/>
          <w:szCs w:val="28"/>
        </w:rPr>
        <w:t>SƠ KẾT HỌC KỲ I NĂM HỌC 2025 – 2026</w:t>
      </w:r>
    </w:p>
    <w:p w:rsidR="004F754C" w:rsidRPr="004F754C" w:rsidRDefault="004F754C" w:rsidP="004F754C">
      <w:pPr>
        <w:spacing w:before="60" w:after="60" w:line="240" w:lineRule="auto"/>
        <w:ind w:firstLine="709"/>
        <w:jc w:val="both"/>
        <w:rPr>
          <w:rFonts w:eastAsia="Times New Roman" w:cs="Times New Roman"/>
          <w:sz w:val="28"/>
          <w:szCs w:val="28"/>
        </w:rPr>
      </w:pPr>
    </w:p>
    <w:p w:rsidR="004F754C" w:rsidRPr="004F754C" w:rsidRDefault="004F754C" w:rsidP="004F754C">
      <w:pPr>
        <w:spacing w:before="60" w:after="60" w:line="240" w:lineRule="auto"/>
        <w:ind w:firstLine="709"/>
        <w:jc w:val="both"/>
        <w:rPr>
          <w:rFonts w:eastAsia="Times New Roman" w:cs="Times New Roman"/>
          <w:i/>
          <w:sz w:val="28"/>
          <w:szCs w:val="28"/>
        </w:rPr>
      </w:pPr>
      <w:r w:rsidRPr="004F754C">
        <w:rPr>
          <w:rFonts w:eastAsia="Times New Roman" w:cs="Times New Roman"/>
          <w:i/>
          <w:sz w:val="28"/>
          <w:szCs w:val="28"/>
        </w:rPr>
        <w:t xml:space="preserve">Căn cứ Quyết định số </w:t>
      </w:r>
      <w:r w:rsidRPr="004F754C">
        <w:rPr>
          <w:rFonts w:eastAsia="Times New Roman" w:cs="Times New Roman"/>
          <w:bCs/>
          <w:i/>
          <w:sz w:val="28"/>
          <w:szCs w:val="28"/>
        </w:rPr>
        <w:t>01002/QĐ-UBND ngày 20/8/2025</w:t>
      </w:r>
      <w:r w:rsidRPr="004F754C">
        <w:rPr>
          <w:rFonts w:eastAsia="Times New Roman" w:cs="Times New Roman"/>
          <w:i/>
          <w:sz w:val="28"/>
          <w:szCs w:val="28"/>
        </w:rPr>
        <w:t xml:space="preserve"> của UBND tỉnh Đắk Lắk về việc ban hành Kế hoạch thời gian năm học 2025–2026;</w:t>
      </w:r>
    </w:p>
    <w:p w:rsidR="004F754C" w:rsidRPr="004F754C" w:rsidRDefault="004F754C" w:rsidP="004F754C">
      <w:pPr>
        <w:spacing w:before="60" w:after="60" w:line="240" w:lineRule="auto"/>
        <w:ind w:firstLine="709"/>
        <w:jc w:val="both"/>
        <w:rPr>
          <w:rFonts w:eastAsia="Times New Roman" w:cs="Times New Roman"/>
          <w:i/>
          <w:sz w:val="28"/>
          <w:szCs w:val="28"/>
        </w:rPr>
      </w:pPr>
      <w:r w:rsidRPr="004F754C">
        <w:rPr>
          <w:rFonts w:eastAsia="Times New Roman" w:cs="Times New Roman"/>
          <w:i/>
          <w:sz w:val="28"/>
          <w:szCs w:val="28"/>
        </w:rPr>
        <w:t xml:space="preserve">Căn cứ Công văn số </w:t>
      </w:r>
      <w:r w:rsidRPr="004F754C">
        <w:rPr>
          <w:rFonts w:eastAsia="Times New Roman" w:cs="Times New Roman"/>
          <w:bCs/>
          <w:i/>
          <w:sz w:val="28"/>
          <w:szCs w:val="28"/>
        </w:rPr>
        <w:t>542/SGDĐT-GDMN ngày 29/8/2025</w:t>
      </w:r>
      <w:r w:rsidRPr="004F754C">
        <w:rPr>
          <w:rFonts w:eastAsia="Times New Roman" w:cs="Times New Roman"/>
          <w:i/>
          <w:sz w:val="28"/>
          <w:szCs w:val="28"/>
        </w:rPr>
        <w:t xml:space="preserve"> của Sở Giáo dục và Đào tạo Đắk Lắk về việc hướng dẫn thực hiện nhiệm vụ giáo dục mầm non năm học 2025–2026;</w:t>
      </w:r>
    </w:p>
    <w:p w:rsidR="004F754C" w:rsidRPr="004F754C" w:rsidRDefault="004F754C" w:rsidP="004F754C">
      <w:pPr>
        <w:spacing w:before="60" w:after="60" w:line="240" w:lineRule="auto"/>
        <w:ind w:firstLine="709"/>
        <w:jc w:val="both"/>
        <w:rPr>
          <w:rFonts w:eastAsia="Times New Roman" w:cs="Times New Roman"/>
          <w:i/>
          <w:sz w:val="28"/>
          <w:szCs w:val="28"/>
        </w:rPr>
      </w:pPr>
      <w:r w:rsidRPr="004F754C">
        <w:rPr>
          <w:rFonts w:eastAsia="Times New Roman" w:cs="Times New Roman"/>
          <w:i/>
          <w:sz w:val="28"/>
          <w:szCs w:val="28"/>
        </w:rPr>
        <w:t>Căn cứ Công văn số 402/UBND-VHXH ngày 18/9/2025 của UBND xã Ea Rốk về việc triển khai hướng dẫn thực hiện nhiệm vụ giáo dục mầm non năm học 2025–2026;</w:t>
      </w:r>
    </w:p>
    <w:p w:rsidR="004F754C" w:rsidRPr="004F754C" w:rsidRDefault="004F754C" w:rsidP="004F754C">
      <w:pPr>
        <w:spacing w:before="60" w:after="60" w:line="240" w:lineRule="auto"/>
        <w:ind w:firstLine="709"/>
        <w:jc w:val="both"/>
        <w:rPr>
          <w:rFonts w:eastAsia="Times New Roman" w:cs="Times New Roman"/>
          <w:i/>
          <w:sz w:val="28"/>
          <w:szCs w:val="28"/>
        </w:rPr>
      </w:pPr>
      <w:r w:rsidRPr="004F754C">
        <w:rPr>
          <w:rFonts w:eastAsia="Times New Roman" w:cs="Times New Roman"/>
          <w:i/>
          <w:sz w:val="28"/>
          <w:szCs w:val="28"/>
        </w:rPr>
        <w:t>Căn cứ Kế hoạch thực hiện nhiệm vụ năm học 2025–2026 của Trường Mầm non Hoa Phượng.</w:t>
      </w:r>
    </w:p>
    <w:p w:rsidR="004F754C" w:rsidRDefault="004F754C" w:rsidP="004F754C">
      <w:pPr>
        <w:spacing w:before="60" w:after="60" w:line="240" w:lineRule="auto"/>
        <w:ind w:firstLine="709"/>
        <w:jc w:val="both"/>
        <w:rPr>
          <w:rFonts w:eastAsia="Times New Roman" w:cs="Times New Roman"/>
          <w:i/>
          <w:sz w:val="28"/>
          <w:szCs w:val="28"/>
        </w:rPr>
      </w:pPr>
      <w:r w:rsidRPr="008957BE">
        <w:rPr>
          <w:rFonts w:eastAsia="Times New Roman" w:cs="Times New Roman"/>
          <w:i/>
          <w:sz w:val="28"/>
          <w:szCs w:val="28"/>
        </w:rPr>
        <w:t xml:space="preserve">Nay trường MN Hoa Phượng </w:t>
      </w:r>
      <w:r w:rsidR="008957BE" w:rsidRPr="008957BE">
        <w:rPr>
          <w:rFonts w:eastAsia="Times New Roman" w:cs="Times New Roman"/>
          <w:i/>
          <w:sz w:val="28"/>
          <w:szCs w:val="28"/>
        </w:rPr>
        <w:t>báo cáo sơ kết học kỳ I như sau:</w:t>
      </w:r>
    </w:p>
    <w:p w:rsidR="007A2161" w:rsidRPr="008957BE" w:rsidRDefault="007A2161" w:rsidP="004F754C">
      <w:pPr>
        <w:spacing w:before="60" w:after="60" w:line="240" w:lineRule="auto"/>
        <w:ind w:firstLine="709"/>
        <w:jc w:val="both"/>
        <w:rPr>
          <w:rFonts w:eastAsia="Times New Roman" w:cs="Times New Roman"/>
          <w:i/>
          <w:sz w:val="28"/>
          <w:szCs w:val="28"/>
        </w:rPr>
      </w:pPr>
    </w:p>
    <w:p w:rsidR="004F754C" w:rsidRPr="004F754C" w:rsidRDefault="008957BE" w:rsidP="004F754C">
      <w:pPr>
        <w:spacing w:before="60" w:after="60" w:line="240" w:lineRule="auto"/>
        <w:ind w:firstLine="709"/>
        <w:jc w:val="both"/>
        <w:outlineLvl w:val="1"/>
        <w:rPr>
          <w:rFonts w:eastAsia="Times New Roman" w:cs="Times New Roman"/>
          <w:b/>
          <w:bCs/>
          <w:sz w:val="28"/>
          <w:szCs w:val="28"/>
        </w:rPr>
      </w:pPr>
      <w:r>
        <w:rPr>
          <w:rFonts w:eastAsia="Times New Roman" w:cs="Times New Roman"/>
          <w:b/>
          <w:bCs/>
          <w:sz w:val="28"/>
          <w:szCs w:val="28"/>
        </w:rPr>
        <w:t xml:space="preserve">I. </w:t>
      </w:r>
      <w:r w:rsidR="004F754C" w:rsidRPr="004F754C">
        <w:rPr>
          <w:rFonts w:eastAsia="Times New Roman" w:cs="Times New Roman"/>
          <w:b/>
          <w:bCs/>
          <w:sz w:val="28"/>
          <w:szCs w:val="28"/>
        </w:rPr>
        <w:t>ĐẶC ĐIỂM TÌNH HÌNH NHÀ TRƯỜNG</w:t>
      </w:r>
    </w:p>
    <w:p w:rsidR="004F754C" w:rsidRPr="004F754C" w:rsidRDefault="008957BE" w:rsidP="004F754C">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1. </w:t>
      </w:r>
      <w:r w:rsidR="004F754C" w:rsidRPr="004F754C">
        <w:rPr>
          <w:rFonts w:eastAsia="Times New Roman" w:cs="Times New Roman"/>
          <w:b/>
          <w:bCs/>
          <w:sz w:val="28"/>
          <w:szCs w:val="28"/>
        </w:rPr>
        <w:t>Thuận lợi</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Nhà trường luôn nhận được sự quan tâm, chỉ đạo sát sao của UBND xã Ea Rốk, Phòng Văn hóa – Xã hội và các ban, ngành liên quan.</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Đội ngũ cán bộ quản lý, giáo viên, nhân viên có tinh thần đoàn kết, trách nhiệm, tâm huyết với nghề, tích cực đổi mới phương pháp chăm sóc, giáo dục trẻ.</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Phụ huynh học sinh ngày càng quan tâm, phối hợp tốt với nhà trường trong việc chăm sóc, nuôi dưỡng và giáo dục trẻ; tạo điều kiện thuận lợi cho các hoạt động của nhà trường.</w:t>
      </w:r>
    </w:p>
    <w:p w:rsidR="004F754C" w:rsidRPr="004F754C" w:rsidRDefault="008957BE" w:rsidP="004F754C">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2. </w:t>
      </w:r>
      <w:r w:rsidR="004F754C" w:rsidRPr="004F754C">
        <w:rPr>
          <w:rFonts w:eastAsia="Times New Roman" w:cs="Times New Roman"/>
          <w:b/>
          <w:bCs/>
          <w:sz w:val="28"/>
          <w:szCs w:val="28"/>
        </w:rPr>
        <w:t>Khó khăn</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Cơ sở vật chất, trang thiết bị, đồ dùng đồ chơi của nhà trường còn thiếu so với yêu cầu đổi mới giáo dục mầm non.</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 xml:space="preserve">Tỷ lệ trẻ em là người dân tộc thiểu số </w:t>
      </w:r>
      <w:r w:rsidR="003539A0">
        <w:rPr>
          <w:rFonts w:eastAsia="Times New Roman" w:cs="Times New Roman"/>
          <w:sz w:val="28"/>
          <w:szCs w:val="28"/>
        </w:rPr>
        <w:t xml:space="preserve">ở điểm lẻ </w:t>
      </w:r>
      <w:bookmarkStart w:id="0" w:name="_GoBack"/>
      <w:bookmarkEnd w:id="0"/>
      <w:r w:rsidRPr="004F754C">
        <w:rPr>
          <w:rFonts w:eastAsia="Times New Roman" w:cs="Times New Roman"/>
          <w:sz w:val="28"/>
          <w:szCs w:val="28"/>
        </w:rPr>
        <w:t>cao, khả năng sử dụng tiếng Việt của một số trẻ còn hạn chế, ảnh hưởng đến việc tổ chức các hoạt động giáo dục.</w:t>
      </w:r>
    </w:p>
    <w:p w:rsidR="004F754C" w:rsidRPr="004F754C" w:rsidRDefault="004F754C" w:rsidP="008957BE">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Một bộ phận giáo viên còn gặp khó khăn trong việc ứng dụng công nghệ thông tin, chuyển đổi số trong quản lý và tổ chức hoạt động giáo dục.</w:t>
      </w:r>
    </w:p>
    <w:p w:rsidR="004F754C" w:rsidRPr="004F754C" w:rsidRDefault="008957BE" w:rsidP="004F754C">
      <w:pPr>
        <w:spacing w:before="60" w:after="60" w:line="240" w:lineRule="auto"/>
        <w:ind w:firstLine="709"/>
        <w:jc w:val="both"/>
        <w:outlineLvl w:val="1"/>
        <w:rPr>
          <w:rFonts w:eastAsia="Times New Roman" w:cs="Times New Roman"/>
          <w:b/>
          <w:bCs/>
          <w:sz w:val="28"/>
          <w:szCs w:val="28"/>
        </w:rPr>
      </w:pPr>
      <w:r>
        <w:rPr>
          <w:rFonts w:eastAsia="Times New Roman" w:cs="Times New Roman"/>
          <w:b/>
          <w:bCs/>
          <w:sz w:val="28"/>
          <w:szCs w:val="28"/>
        </w:rPr>
        <w:t xml:space="preserve">II. </w:t>
      </w:r>
      <w:r w:rsidR="004F754C" w:rsidRPr="004F754C">
        <w:rPr>
          <w:rFonts w:eastAsia="Times New Roman" w:cs="Times New Roman"/>
          <w:b/>
          <w:bCs/>
          <w:sz w:val="28"/>
          <w:szCs w:val="28"/>
        </w:rPr>
        <w:t>KẾT QUẢ THỰC HIỆN NHIỆM VỤ HỌC KỲ I</w:t>
      </w:r>
    </w:p>
    <w:p w:rsidR="004F754C" w:rsidRPr="004F754C" w:rsidRDefault="008957BE" w:rsidP="004F754C">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lastRenderedPageBreak/>
        <w:t xml:space="preserve">1. </w:t>
      </w:r>
      <w:r w:rsidR="004F754C" w:rsidRPr="004F754C">
        <w:rPr>
          <w:rFonts w:eastAsia="Times New Roman" w:cs="Times New Roman"/>
          <w:b/>
          <w:bCs/>
          <w:sz w:val="28"/>
          <w:szCs w:val="28"/>
        </w:rPr>
        <w:t>Công tác quản lý, chỉ đạo và tổ chức thực hiện</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Nhà trường đã chủ động xây dựng và triển khai kế hoạch năm học 2025–2026, kế hoạch học kỳ I đảm bảo đúng tiến độ, bám sát các văn bản chỉ đạo của cấp trên.</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Thực hiện nghiêm túc các quy định về quản lý cơ sở GDMN; phát huy vai trò tập thể trong xây dựng và tổ chức thực hiện kế hoạch.</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Thực hiện tốt quy chế dân chủ ở cơ sở, công khai các nội dung theo quy định; tăng cường quyền tự chủ trong tổ chức hoạt động giáo dục phù hợp với điều kiện thực tế của nhà trường.</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Rà soát, tinh giản và số hóa hồ sơ sổ sách; chấn chỉnh việc lạm dụng hồ sơ, sổ sách trong nhà trường, đảm bảo khoa học, gọn nhẹ, hiệu quả.</w:t>
      </w:r>
    </w:p>
    <w:p w:rsidR="004F754C" w:rsidRPr="004F754C" w:rsidRDefault="008957BE" w:rsidP="004F754C">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2. </w:t>
      </w:r>
      <w:r w:rsidR="004F754C" w:rsidRPr="004F754C">
        <w:rPr>
          <w:rFonts w:eastAsia="Times New Roman" w:cs="Times New Roman"/>
          <w:b/>
          <w:bCs/>
          <w:sz w:val="28"/>
          <w:szCs w:val="28"/>
        </w:rPr>
        <w:t>Công tác đảm bảo an toàn cho trẻ</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100% cán bộ, giáo viên, nhân viên được quán triệt và thực hiện nghiêm các quy định về phòng, chống bạo hành trẻ em; phòng chống tai nạn thương tích trong cơ sở GDMN.</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Nhà trường thường xuyên tự kiểm tra, rà soát cơ sở vật chất, trang thiết bị, đồ dùng đồ chơi; kịp thời sửa chữa, bổ sung nhằm hạn chế tối đa nguy cơ mất an toàn cho trẻ.</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Tổ chức lồng ghép giáo dục kỹ năng an toàn cho trẻ như: phòng tránh tai nạn thương tích, phòng cháy chữa cháy, phòng chống dịch bệnh thông qua các hoạt động phù hợp với độ tuổi.</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Không để xảy ra tai nạn thương tích, mất an toàn cho trẻ trong học kỳ I.</w:t>
      </w:r>
    </w:p>
    <w:p w:rsidR="004F754C" w:rsidRPr="004F754C" w:rsidRDefault="008957BE" w:rsidP="004F754C">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3. </w:t>
      </w:r>
      <w:r w:rsidR="004F754C" w:rsidRPr="004F754C">
        <w:rPr>
          <w:rFonts w:eastAsia="Times New Roman" w:cs="Times New Roman"/>
          <w:b/>
          <w:bCs/>
          <w:sz w:val="28"/>
          <w:szCs w:val="28"/>
        </w:rPr>
        <w:t>Công tác chăm sóc sức khỏe, nuôi dưỡng trẻ</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100% trẻ được khám sức khỏe định kỳ, theo dõi cân nặng, chiều cao bằng biểu đồ tăng trưởng; thực hiện tốt công tác phòng, chống dịch bệnh theo hướng dẫn của ngành Y tế.</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Tổ chức bữa ăn bán trú đảm bảo đủ khẩu phần, cân đối dinh dưỡng, đảm bảo vệ sinh an toàn thực phẩm; thực hiện nghiêm quy định không ký hợp đồng cung cấp suất ăn cho trẻ.</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Phối hợp với Ban đại diện cha mẹ trẻ thường xuyên kiểm tra, giám sát chất lượng bữa ăn, góp phần nâng cao thể trạng và sức khỏe cho trẻ.</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Giáo dục trẻ kỹ năng vệ sinh cá nhân, kỹ năng tự phục vụ, hình thành thói quen sinh hoạt lành mạnh ngay từ lứa tuổi mầm non.</w:t>
      </w:r>
    </w:p>
    <w:p w:rsidR="004F754C" w:rsidRPr="004F754C" w:rsidRDefault="008957BE" w:rsidP="004F754C">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4. </w:t>
      </w:r>
      <w:r w:rsidR="004F754C" w:rsidRPr="004F754C">
        <w:rPr>
          <w:rFonts w:eastAsia="Times New Roman" w:cs="Times New Roman"/>
          <w:b/>
          <w:bCs/>
          <w:sz w:val="28"/>
          <w:szCs w:val="28"/>
        </w:rPr>
        <w:t>Thực hiện Chương trình giáo dục mầm non</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Nhà trường thực hiện nghiêm túc Chương trình GDMN hiện hành; xây dựng kế hoạch giáo dục linh hoạt, phù hợp với điều kiện thực tế và nhu cầu, hứng thú của trẻ.</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lastRenderedPageBreak/>
        <w:t>Đổi mới phương pháp, hình thức tổ chức hoạt động giáo dục theo hướng lấy trẻ làm trung tâm; tăng cường hoạt động trải nghiệm, học thông qua chơi.</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Lồng ghép hiệu quả các nội dung giáo dục: giáo dục dinh dưỡng kết hợp vận động, giáo dục kỹ năng sống, bảo vệ môi trường, an toàn giao thông, giáo dục quyền trẻ em.</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Thực hiện tốt công tác tăng cường tiếng Việt cho trẻ em dân tộc thiểu số; chuẩn bị đầy đủ tâm thế cho trẻ 5 tuổi sẵn sàng vào lớp Một, tuyệt đối không dạy trước chương trình Tiểu học.</w:t>
      </w:r>
    </w:p>
    <w:p w:rsidR="004F754C" w:rsidRPr="004F754C" w:rsidRDefault="008957BE" w:rsidP="004F754C">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5. </w:t>
      </w:r>
      <w:r w:rsidR="004F754C" w:rsidRPr="004F754C">
        <w:rPr>
          <w:rFonts w:eastAsia="Times New Roman" w:cs="Times New Roman"/>
          <w:b/>
          <w:bCs/>
          <w:sz w:val="28"/>
          <w:szCs w:val="28"/>
        </w:rPr>
        <w:t>Công tác phổ cập giáo dục mầm non</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Nhà trường tiếp tục duy trì và nâng cao chất lượng phổ cập GDMN cho trẻ 5 tuổi theo đúng quy định.</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Phối hợp với UBND xã và các ban, ngành liên quan rà soát số liệu trẻ trong độ tuổi, đội ngũ, cơ sở vật chất, chuẩn bị các điều kiện để triển khai phổ cập GDMN cho trẻ từ 3–5 tuổi theo Nghị quyết số 218/2025/QH15.</w:t>
      </w:r>
    </w:p>
    <w:p w:rsidR="004F754C" w:rsidRPr="004F754C" w:rsidRDefault="008957BE" w:rsidP="004F754C">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6. </w:t>
      </w:r>
      <w:r w:rsidR="004F754C" w:rsidRPr="004F754C">
        <w:rPr>
          <w:rFonts w:eastAsia="Times New Roman" w:cs="Times New Roman"/>
          <w:b/>
          <w:bCs/>
          <w:sz w:val="28"/>
          <w:szCs w:val="28"/>
        </w:rPr>
        <w:t>Cơ sở vật chất, đội ngũ</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Nhà trường đã rà soát thực trạng cơ sở vật chất, trang thiết bị, đồ dùng đồ chơi; kịp thời tham mưu UBND xã bổ sung, sửa chữa nhằm đáp ứng yêu cầu chăm sóc, giáo dục trẻ.</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Đội ngũ cán bộ quản lý, giáo viên cơ bản đảm bảo về số lượng và chất lượng; thực hiện đầy đủ chế độ, chính sách theo quy định hiện hành.</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Tổ chức sinh hoạt chuyên môn, bồi dưỡng nâng cao năng lực chuyên môn, đạo đức nhà giáo; gắn tinh thần trách nhiệm với tình yêu thương trẻ.</w:t>
      </w:r>
    </w:p>
    <w:p w:rsidR="004F754C" w:rsidRPr="004F754C" w:rsidRDefault="008957BE" w:rsidP="004F754C">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7. </w:t>
      </w:r>
      <w:r w:rsidR="004F754C" w:rsidRPr="004F754C">
        <w:rPr>
          <w:rFonts w:eastAsia="Times New Roman" w:cs="Times New Roman"/>
          <w:b/>
          <w:bCs/>
          <w:sz w:val="28"/>
          <w:szCs w:val="28"/>
        </w:rPr>
        <w:t>Ứng dụng CNTT, chuyển đổi số và công tác tuyên truyền</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Tăng cường ứng dụng CNTT trong công tác quản lý, xây dựng kế hoạch, báo cáo và tổ chức các hoạt động giáo dục.</w:t>
      </w:r>
    </w:p>
    <w:p w:rsidR="004F754C" w:rsidRPr="004F754C" w:rsidRDefault="004F754C" w:rsidP="008957BE">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Đẩy mạnh công tác tuyên truyền các chủ trương, chính sách mới về giáo dục mầm non; tăng cường phối hợp giữa nhà trường, gia đình và cộng đồng.</w:t>
      </w:r>
    </w:p>
    <w:p w:rsidR="004F754C" w:rsidRPr="004F754C" w:rsidRDefault="008957BE" w:rsidP="004F754C">
      <w:pPr>
        <w:spacing w:before="60" w:after="60" w:line="240" w:lineRule="auto"/>
        <w:ind w:firstLine="709"/>
        <w:jc w:val="both"/>
        <w:outlineLvl w:val="1"/>
        <w:rPr>
          <w:rFonts w:eastAsia="Times New Roman" w:cs="Times New Roman"/>
          <w:b/>
          <w:bCs/>
          <w:sz w:val="28"/>
          <w:szCs w:val="28"/>
        </w:rPr>
      </w:pPr>
      <w:r>
        <w:rPr>
          <w:rFonts w:eastAsia="Times New Roman" w:cs="Times New Roman"/>
          <w:b/>
          <w:bCs/>
          <w:sz w:val="28"/>
          <w:szCs w:val="28"/>
        </w:rPr>
        <w:t xml:space="preserve">III. </w:t>
      </w:r>
      <w:r w:rsidR="004F754C" w:rsidRPr="004F754C">
        <w:rPr>
          <w:rFonts w:eastAsia="Times New Roman" w:cs="Times New Roman"/>
          <w:b/>
          <w:bCs/>
          <w:sz w:val="28"/>
          <w:szCs w:val="28"/>
        </w:rPr>
        <w:t>ĐÁNH GIÁ CHUNG</w:t>
      </w:r>
    </w:p>
    <w:p w:rsidR="004F754C" w:rsidRPr="004F754C" w:rsidRDefault="008957BE" w:rsidP="004F754C">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1. </w:t>
      </w:r>
      <w:r w:rsidR="004F754C" w:rsidRPr="004F754C">
        <w:rPr>
          <w:rFonts w:eastAsia="Times New Roman" w:cs="Times New Roman"/>
          <w:b/>
          <w:bCs/>
          <w:sz w:val="28"/>
          <w:szCs w:val="28"/>
        </w:rPr>
        <w:t>Kết quả đạt được</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Nhà trường đã thực hiện nghiêm túc và hoàn thành tốt các nhiệm vụ trọng tâm học kỳ I năm học 2025–2026.</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Chất lượng chăm sóc, nuôi dưỡng, giáo dục trẻ từng bước được nâng cao; an toàn cho trẻ được đảm bảo tuyệt đối.</w:t>
      </w:r>
    </w:p>
    <w:p w:rsidR="004F754C" w:rsidRPr="004F754C" w:rsidRDefault="008957BE" w:rsidP="004F754C">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2. </w:t>
      </w:r>
      <w:r w:rsidR="004F754C" w:rsidRPr="004F754C">
        <w:rPr>
          <w:rFonts w:eastAsia="Times New Roman" w:cs="Times New Roman"/>
          <w:b/>
          <w:bCs/>
          <w:sz w:val="28"/>
          <w:szCs w:val="28"/>
        </w:rPr>
        <w:t>Hạn chế</w:t>
      </w:r>
    </w:p>
    <w:p w:rsidR="004F754C" w:rsidRPr="004F754C" w:rsidRDefault="004F754C" w:rsidP="004F754C">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Một số hoạt động trải nghiệm, ứng dụng CNTT chưa thật sự phong phú.</w:t>
      </w:r>
    </w:p>
    <w:p w:rsidR="004F754C" w:rsidRPr="004F754C" w:rsidRDefault="004F754C" w:rsidP="008957BE">
      <w:pPr>
        <w:spacing w:before="60" w:after="60" w:line="240" w:lineRule="auto"/>
        <w:ind w:firstLine="709"/>
        <w:jc w:val="both"/>
        <w:rPr>
          <w:rFonts w:eastAsia="Times New Roman" w:cs="Times New Roman"/>
          <w:sz w:val="28"/>
          <w:szCs w:val="28"/>
        </w:rPr>
      </w:pPr>
      <w:r w:rsidRPr="004F754C">
        <w:rPr>
          <w:rFonts w:eastAsia="Times New Roman" w:cs="Times New Roman"/>
          <w:sz w:val="28"/>
          <w:szCs w:val="28"/>
        </w:rPr>
        <w:t>Cơ sở vật chất, trang thiết bị chưa đáp ứng đầy đủ yêu cầu đổi mới giáo dục.</w:t>
      </w:r>
    </w:p>
    <w:p w:rsidR="004F754C" w:rsidRPr="004F754C" w:rsidRDefault="008957BE" w:rsidP="004F754C">
      <w:pPr>
        <w:spacing w:before="60" w:after="60" w:line="240" w:lineRule="auto"/>
        <w:ind w:firstLine="709"/>
        <w:jc w:val="both"/>
        <w:outlineLvl w:val="1"/>
        <w:rPr>
          <w:rFonts w:eastAsia="Times New Roman" w:cs="Times New Roman"/>
          <w:b/>
          <w:bCs/>
          <w:sz w:val="28"/>
          <w:szCs w:val="28"/>
        </w:rPr>
      </w:pPr>
      <w:r>
        <w:rPr>
          <w:rFonts w:eastAsia="Times New Roman" w:cs="Times New Roman"/>
          <w:b/>
          <w:bCs/>
          <w:sz w:val="28"/>
          <w:szCs w:val="28"/>
        </w:rPr>
        <w:lastRenderedPageBreak/>
        <w:t xml:space="preserve">IV. </w:t>
      </w:r>
      <w:r w:rsidR="004F754C" w:rsidRPr="004F754C">
        <w:rPr>
          <w:rFonts w:eastAsia="Times New Roman" w:cs="Times New Roman"/>
          <w:b/>
          <w:bCs/>
          <w:sz w:val="28"/>
          <w:szCs w:val="28"/>
        </w:rPr>
        <w:t>PHƯƠNG HƯỚNG, NHIỆM VỤ HỌC KỲ II</w:t>
      </w:r>
    </w:p>
    <w:p w:rsidR="008957BE" w:rsidRPr="008957BE" w:rsidRDefault="008957BE" w:rsidP="008957BE">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1. </w:t>
      </w:r>
      <w:r w:rsidRPr="008957BE">
        <w:rPr>
          <w:rFonts w:eastAsia="Times New Roman" w:cs="Times New Roman"/>
          <w:b/>
          <w:bCs/>
          <w:sz w:val="28"/>
          <w:szCs w:val="28"/>
        </w:rPr>
        <w:t>Tiếp tục nâng cao hiệu lực, hiệu quả công tác quản lý</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Tiếp tục thực hiện nghiêm túc các văn bản chỉ đạo của các cấp về nhiệm vụ giáo dục mầm non năm học 2025–2026; kịp thời rà soát, điều chỉnh kế hoạch học kỳ II phù hợp với tình hình thực tế của nhà trường.</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Tăng cường vai trò, trách nhiệm của đội ngũ cán bộ quản lý trong công tác chỉ đạo, kiểm tra, giám sát việc thực hiện nhiệm vụ chăm sóc, nuôi dưỡng và giáo dục trẻ; đảm bảo các hoạt động trong nhà trường được tổ chức đúng quy định, hiệu quả, thực chất.</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Thực hiện tốt quy chế dân chủ ở cơ sở; phát huy vai trò tập thể, trách nhiệm cá nhân trong tổ chức thực hiện nhiệm vụ; tăng cường công khai, minh bạch trong quản lý và sử dụng các nguồn lực của nhà trường.</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Tiếp tục rà soát, tinh giản, số hóa hồ sơ sổ sách; thực hiện nghiêm việc chấn chỉnh lạm dụng hồ sơ, sổ sách trong nhà trường, đảm bảo gọn nhẹ, khoa học, hiệu quả.</w:t>
      </w:r>
    </w:p>
    <w:p w:rsidR="008957BE" w:rsidRPr="008957BE" w:rsidRDefault="008957BE" w:rsidP="008957BE">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2. </w:t>
      </w:r>
      <w:r w:rsidRPr="008957BE">
        <w:rPr>
          <w:rFonts w:eastAsia="Times New Roman" w:cs="Times New Roman"/>
          <w:b/>
          <w:bCs/>
          <w:sz w:val="28"/>
          <w:szCs w:val="28"/>
        </w:rPr>
        <w:t>Bảo đảm an toàn tuyệt đối cho trẻ em</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Duy trì và thực hiện nghiêm các quy định về xây dựng trường học an toàn; tăng cường công tác phòng, chống bạo hành trẻ em, phòng chống tai nạn thương tích trong cơ sở GDMN.</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Thường xuyên kiểm tra, rà soát cơ sở vật chất, trang thiết bị, đồ dùng đồ chơi; kịp thời sửa chữa, bổ sung các hạng mục có nguy cơ mất an toàn, đặc biệt là khu vui chơi ngoài trời, khu vệ sinh, khu bếp ăn bán trú.</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Tăng cường công tác phòng, chống dịch bệnh theo mùa; chủ động phối hợp với Trạm Y tế xã trong việc chăm sóc sức khỏe, theo dõi, xử lý kịp thời các tình huống phát sinh.</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Đẩy mạnh giáo dục kỹ năng an toàn cho trẻ thông qua các hoạt động trải nghiệm phù hợp với độ tuổi như: kỹ năng phòng cháy chữa cháy, phòng tránh tai nạn thương tích, kỹ năng tự bảo vệ bản thân.</w:t>
      </w:r>
    </w:p>
    <w:p w:rsidR="008957BE" w:rsidRPr="008957BE" w:rsidRDefault="008957BE" w:rsidP="008957BE">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3. </w:t>
      </w:r>
      <w:r w:rsidRPr="008957BE">
        <w:rPr>
          <w:rFonts w:eastAsia="Times New Roman" w:cs="Times New Roman"/>
          <w:b/>
          <w:bCs/>
          <w:sz w:val="28"/>
          <w:szCs w:val="28"/>
        </w:rPr>
        <w:t>Nâng cao chất lượng chăm sóc, nuôi dưỡng và bảo vệ sức khỏe trẻ</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Tiếp tục thực hiện nghiêm túc công tác khám sức khỏe định kỳ, theo dõi cân nặng, chiều cao của trẻ bằng biểu đồ tăng trưởng; kịp thời phát hiện và có biện pháp can thiệp đối với trẻ suy dinh dưỡng, thừa cân, béo phì.</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Tổ chức bữa ăn bán trú đảm bảo đủ số lượng, cân đối dinh dưỡng, an toàn vệ sinh thực phẩm; tăng cường kiểm tra, giám sát nguồn thực phẩm đầu vào và quy trình chế biến tại bếp ăn của nhà trường.</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Phối hợp chặt chẽ với Ban đại diện cha mẹ trẻ trong công tác chăm sóc, nuôi dưỡng; tuyên truyền kiến thức dinh dưỡng, chăm sóc sức khỏe cho phụ huynh.</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lastRenderedPageBreak/>
        <w:t>Lồng ghép giáo dục kỹ năng vệ sinh cá nhân, kỹ năng tự phục vụ và hình thành thói quen sinh hoạt lành mạnh cho trẻ trong các hoạt động hằng ngày.</w:t>
      </w:r>
    </w:p>
    <w:p w:rsidR="008957BE" w:rsidRPr="008957BE" w:rsidRDefault="008957BE" w:rsidP="008957BE">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4. </w:t>
      </w:r>
      <w:r w:rsidRPr="008957BE">
        <w:rPr>
          <w:rFonts w:eastAsia="Times New Roman" w:cs="Times New Roman"/>
          <w:b/>
          <w:bCs/>
          <w:sz w:val="28"/>
          <w:szCs w:val="28"/>
        </w:rPr>
        <w:t>Tiếp tục nâng cao chất lượng thực hiện Chương trình GDMN</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Thực hiện linh hoạt Chương trình GDMN hiện hành, đảm bảo phù hợp với điều kiện thực tế của nhà trường và khả năng, nhu cầu, hứng thú của trẻ.</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Đẩy mạnh đổi mới phương pháp, hình thức tổ chức hoạt động giáo dục theo hướng lấy trẻ làm trung tâm; tăng cường hoạt động trải nghiệm, học thông qua chơi, hoạt động ngoài trời.</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Tăng cường lồng ghép các nội dung giáo dục: giáo dục dinh dưỡng kết hợp vận động, giáo dục kỹ năng sống, giáo dục bảo vệ môi trường, an toàn giao thông, giáo dục quyền trẻ em.</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Khuyến khích giáo viên áp dụng các phương pháp giáo dục tiên tiến, từng bước tiếp cận giáo dục STEM/STEAM phù hợp với điều kiện của nhà trường.</w:t>
      </w:r>
    </w:p>
    <w:p w:rsidR="008957BE" w:rsidRPr="008957BE" w:rsidRDefault="008957BE" w:rsidP="008957BE">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5. </w:t>
      </w:r>
      <w:r w:rsidRPr="008957BE">
        <w:rPr>
          <w:rFonts w:eastAsia="Times New Roman" w:cs="Times New Roman"/>
          <w:b/>
          <w:bCs/>
          <w:sz w:val="28"/>
          <w:szCs w:val="28"/>
        </w:rPr>
        <w:t>Tăng cường công tác tăng cường tiếng Việt, giáo dục hòa nhập</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Tiếp tục triển khai hiệu quả các biện pháp tăng cường tiếng Việt cho trẻ em dân tộc thiểu số thông qua các hoạt động giao tiếp, vui chơi, sinh hoạt hằng ngày.</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Thực hiện tốt công tác giáo dục hòa nhập đối với trẻ khuyết tật, trẻ em có hoàn cảnh khó khăn; xây dựng và thực hiện kế hoạch giáo dục cá nhân phù hợp với nhu cầu và khả năng của từng trẻ.</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Phối hợp với gia đình và cộng đồng nâng cao nhận thức về giáo dục hòa nhập, tạo điều kiện cho mọi trẻ em được chăm sóc, nuôi dưỡng và giáo dục trong môi trường an toàn, thân thiện.</w:t>
      </w:r>
    </w:p>
    <w:p w:rsidR="008957BE" w:rsidRPr="008957BE" w:rsidRDefault="008957BE" w:rsidP="008957BE">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6. </w:t>
      </w:r>
      <w:r w:rsidRPr="008957BE">
        <w:rPr>
          <w:rFonts w:eastAsia="Times New Roman" w:cs="Times New Roman"/>
          <w:b/>
          <w:bCs/>
          <w:sz w:val="28"/>
          <w:szCs w:val="28"/>
        </w:rPr>
        <w:t>Chuẩn bị cho trẻ 5 tuổi sẵn sàng vào lớp Một</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Tổ chức các hoạt động giáo dục nhằm phát triển toàn diện cho trẻ 5 tuổi; chú trọng phát triển ngôn ngữ, thể chất, kỹ năng xã hội và tâm thế sẵn sàng đi học.</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Phối hợp chặt chẽ với gia đình trong việc chăm sóc, giáo dục trẻ; tuyên truyền, hướng dẫn phụ huynh chuẩn bị tâm lý cho trẻ vào lớp Một.</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Thực hiện nghiêm túc quy định không dạy trước chương trình Tiểu học dưới bất kỳ hình thức nào.</w:t>
      </w:r>
    </w:p>
    <w:p w:rsidR="008957BE" w:rsidRPr="008957BE" w:rsidRDefault="008957BE" w:rsidP="008957BE">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7. </w:t>
      </w:r>
      <w:r w:rsidRPr="008957BE">
        <w:rPr>
          <w:rFonts w:eastAsia="Times New Roman" w:cs="Times New Roman"/>
          <w:b/>
          <w:bCs/>
          <w:sz w:val="28"/>
          <w:szCs w:val="28"/>
        </w:rPr>
        <w:t>Tiếp tục duy trì và nâng cao chất lượng phổ cập GDMN</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Duy trì và nâng cao chất lượng phổ cập GDMN cho trẻ 5 tuổi theo quy định.</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Chủ động phối hợp với UBND xã và các ban, ngành liên quan trong việc rà soát số liệu trẻ trong độ tuổi, chuẩn bị các điều kiện triển khai phổ cập GDMN cho trẻ từ 3–5 tuổi theo lộ trình.</w:t>
      </w:r>
    </w:p>
    <w:p w:rsidR="008957BE" w:rsidRPr="008957BE" w:rsidRDefault="008957BE" w:rsidP="008957BE">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8. </w:t>
      </w:r>
      <w:r w:rsidRPr="008957BE">
        <w:rPr>
          <w:rFonts w:eastAsia="Times New Roman" w:cs="Times New Roman"/>
          <w:b/>
          <w:bCs/>
          <w:sz w:val="28"/>
          <w:szCs w:val="28"/>
        </w:rPr>
        <w:t>Phát triển đội ngũ cán bộ quản lý, giáo viên mầm non</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lastRenderedPageBreak/>
        <w:t>Tiếp tục bồi dưỡng, nâng cao năng lực chuyên môn, nghiệp vụ, đạo đức nghề nghiệp cho đội ngũ cán bộ quản lý, giáo viên.</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Khuyến khích giáo viên tự học, tự bồi dưỡng, chia sẻ kinh nghiệm chuyên môn; nâng cao tinh thần trách nhiệm, tình yêu thương trẻ.</w:t>
      </w:r>
    </w:p>
    <w:p w:rsidR="008957BE" w:rsidRPr="008957BE" w:rsidRDefault="008957BE" w:rsidP="008957BE">
      <w:pPr>
        <w:spacing w:before="60" w:after="60" w:line="240" w:lineRule="auto"/>
        <w:ind w:firstLine="709"/>
        <w:jc w:val="both"/>
        <w:outlineLvl w:val="2"/>
        <w:rPr>
          <w:rFonts w:eastAsia="Times New Roman" w:cs="Times New Roman"/>
          <w:b/>
          <w:bCs/>
          <w:sz w:val="28"/>
          <w:szCs w:val="28"/>
        </w:rPr>
      </w:pPr>
      <w:r>
        <w:rPr>
          <w:rFonts w:eastAsia="Times New Roman" w:cs="Times New Roman"/>
          <w:b/>
          <w:bCs/>
          <w:sz w:val="28"/>
          <w:szCs w:val="28"/>
        </w:rPr>
        <w:t xml:space="preserve">9. </w:t>
      </w:r>
      <w:r w:rsidRPr="008957BE">
        <w:rPr>
          <w:rFonts w:eastAsia="Times New Roman" w:cs="Times New Roman"/>
          <w:b/>
          <w:bCs/>
          <w:sz w:val="28"/>
          <w:szCs w:val="28"/>
        </w:rPr>
        <w:t>Đẩy mạnh ứng dụng CNTT, chuyển đổi số và công tác tuyên truyền</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Tăng cường ứng dụng CNTT trong công tác quản lý, báo cáo, lưu trữ hồ sơ và tổ chức các hoạt động giáo dục.</w:t>
      </w:r>
    </w:p>
    <w:p w:rsidR="008957BE" w:rsidRPr="008957BE" w:rsidRDefault="008957BE" w:rsidP="008957BE">
      <w:pPr>
        <w:spacing w:before="60" w:after="60" w:line="240" w:lineRule="auto"/>
        <w:ind w:firstLine="709"/>
        <w:jc w:val="both"/>
        <w:rPr>
          <w:rFonts w:eastAsia="Times New Roman" w:cs="Times New Roman"/>
          <w:sz w:val="28"/>
          <w:szCs w:val="28"/>
        </w:rPr>
      </w:pPr>
      <w:r w:rsidRPr="008957BE">
        <w:rPr>
          <w:rFonts w:eastAsia="Times New Roman" w:cs="Times New Roman"/>
          <w:sz w:val="28"/>
          <w:szCs w:val="28"/>
        </w:rPr>
        <w:t>Đẩy mạnh công tác tuyên truyền về các chủ trương, chính sách mới của ngành; tăng cường phối hợp giữa nhà trường, gia đình và cộng đồng trong công tác chăm sóc, giáo dục trẻ.</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957BE" w:rsidTr="001D112E">
        <w:tc>
          <w:tcPr>
            <w:tcW w:w="4675" w:type="dxa"/>
          </w:tcPr>
          <w:p w:rsidR="008957BE" w:rsidRPr="001D112E" w:rsidRDefault="008957BE" w:rsidP="004F754C">
            <w:pPr>
              <w:spacing w:before="60" w:after="60"/>
              <w:jc w:val="both"/>
              <w:rPr>
                <w:i/>
                <w:sz w:val="24"/>
              </w:rPr>
            </w:pPr>
            <w:r w:rsidRPr="001D112E">
              <w:rPr>
                <w:i/>
                <w:sz w:val="24"/>
              </w:rPr>
              <w:t>Nơi nhận:</w:t>
            </w:r>
          </w:p>
          <w:p w:rsidR="008957BE" w:rsidRPr="001D112E" w:rsidRDefault="008957BE" w:rsidP="008957BE">
            <w:pPr>
              <w:pStyle w:val="ListParagraph"/>
              <w:numPr>
                <w:ilvl w:val="0"/>
                <w:numId w:val="27"/>
              </w:numPr>
              <w:spacing w:before="60" w:after="60"/>
              <w:jc w:val="both"/>
              <w:rPr>
                <w:sz w:val="22"/>
                <w:szCs w:val="22"/>
              </w:rPr>
            </w:pPr>
            <w:r w:rsidRPr="001D112E">
              <w:rPr>
                <w:sz w:val="22"/>
                <w:szCs w:val="22"/>
              </w:rPr>
              <w:t>UBND xã (để báo cáo);</w:t>
            </w:r>
          </w:p>
          <w:p w:rsidR="008957BE" w:rsidRPr="001D112E" w:rsidRDefault="008957BE" w:rsidP="008957BE">
            <w:pPr>
              <w:pStyle w:val="ListParagraph"/>
              <w:numPr>
                <w:ilvl w:val="0"/>
                <w:numId w:val="27"/>
              </w:numPr>
              <w:spacing w:before="60" w:after="60"/>
              <w:jc w:val="both"/>
              <w:rPr>
                <w:sz w:val="22"/>
                <w:szCs w:val="22"/>
              </w:rPr>
            </w:pPr>
            <w:r w:rsidRPr="001D112E">
              <w:rPr>
                <w:sz w:val="22"/>
                <w:szCs w:val="22"/>
              </w:rPr>
              <w:t>Phòng VH-XH xã (để báo cáo);</w:t>
            </w:r>
          </w:p>
          <w:p w:rsidR="008957BE" w:rsidRPr="008957BE" w:rsidRDefault="008957BE" w:rsidP="008957BE">
            <w:pPr>
              <w:pStyle w:val="ListParagraph"/>
              <w:numPr>
                <w:ilvl w:val="0"/>
                <w:numId w:val="27"/>
              </w:numPr>
              <w:spacing w:before="60" w:after="60"/>
              <w:jc w:val="both"/>
            </w:pPr>
            <w:r w:rsidRPr="001D112E">
              <w:rPr>
                <w:sz w:val="22"/>
                <w:szCs w:val="22"/>
              </w:rPr>
              <w:t>Lưu VT.</w:t>
            </w:r>
          </w:p>
        </w:tc>
        <w:tc>
          <w:tcPr>
            <w:tcW w:w="4675" w:type="dxa"/>
          </w:tcPr>
          <w:p w:rsidR="008957BE" w:rsidRPr="001D112E" w:rsidRDefault="001D112E" w:rsidP="001D112E">
            <w:pPr>
              <w:spacing w:before="60" w:after="60"/>
              <w:jc w:val="center"/>
              <w:rPr>
                <w:b/>
              </w:rPr>
            </w:pPr>
            <w:r w:rsidRPr="001D112E">
              <w:rPr>
                <w:b/>
              </w:rPr>
              <w:t>Hiệu trưởng</w:t>
            </w:r>
          </w:p>
          <w:p w:rsidR="001D112E" w:rsidRDefault="001D112E" w:rsidP="001D112E">
            <w:pPr>
              <w:spacing w:before="60" w:after="60"/>
              <w:jc w:val="center"/>
              <w:rPr>
                <w:i/>
              </w:rPr>
            </w:pPr>
            <w:r w:rsidRPr="001D112E">
              <w:rPr>
                <w:i/>
              </w:rPr>
              <w:t>(Ký, đóng dấu, ghi rõ họ tên)</w:t>
            </w:r>
          </w:p>
          <w:p w:rsidR="001D112E" w:rsidRDefault="001D112E" w:rsidP="001D112E">
            <w:pPr>
              <w:spacing w:before="60" w:after="60"/>
              <w:jc w:val="center"/>
              <w:rPr>
                <w:i/>
              </w:rPr>
            </w:pPr>
          </w:p>
          <w:p w:rsidR="001D112E" w:rsidRDefault="001D112E" w:rsidP="001D112E">
            <w:pPr>
              <w:spacing w:before="60" w:after="60"/>
              <w:jc w:val="center"/>
              <w:rPr>
                <w:i/>
              </w:rPr>
            </w:pPr>
          </w:p>
          <w:p w:rsidR="001D112E" w:rsidRDefault="001D112E" w:rsidP="001D112E">
            <w:pPr>
              <w:spacing w:before="60" w:after="60"/>
              <w:jc w:val="center"/>
              <w:rPr>
                <w:i/>
              </w:rPr>
            </w:pPr>
          </w:p>
          <w:p w:rsidR="001D112E" w:rsidRPr="001D112E" w:rsidRDefault="001D112E" w:rsidP="001D112E">
            <w:pPr>
              <w:spacing w:before="60" w:after="60"/>
              <w:jc w:val="center"/>
              <w:rPr>
                <w:b/>
              </w:rPr>
            </w:pPr>
            <w:r w:rsidRPr="001D112E">
              <w:rPr>
                <w:b/>
              </w:rPr>
              <w:t>Đặng Thị Thu</w:t>
            </w:r>
          </w:p>
        </w:tc>
      </w:tr>
    </w:tbl>
    <w:p w:rsidR="00834AD5" w:rsidRPr="004F754C" w:rsidRDefault="00834AD5" w:rsidP="004F754C">
      <w:pPr>
        <w:spacing w:before="60" w:after="60"/>
        <w:ind w:firstLine="709"/>
        <w:jc w:val="both"/>
        <w:rPr>
          <w:rFonts w:cs="Times New Roman"/>
          <w:sz w:val="28"/>
          <w:szCs w:val="28"/>
        </w:rPr>
      </w:pPr>
    </w:p>
    <w:sectPr w:rsidR="00834AD5" w:rsidRPr="004F7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3C13"/>
    <w:multiLevelType w:val="hybridMultilevel"/>
    <w:tmpl w:val="AA866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14ADB"/>
    <w:multiLevelType w:val="multilevel"/>
    <w:tmpl w:val="FCB8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9C21A2"/>
    <w:multiLevelType w:val="multilevel"/>
    <w:tmpl w:val="FE06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32338"/>
    <w:multiLevelType w:val="hybridMultilevel"/>
    <w:tmpl w:val="157CBAEA"/>
    <w:lvl w:ilvl="0" w:tplc="1780E8E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64A44"/>
    <w:multiLevelType w:val="multilevel"/>
    <w:tmpl w:val="B526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8B4358"/>
    <w:multiLevelType w:val="multilevel"/>
    <w:tmpl w:val="9202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BC7FA0"/>
    <w:multiLevelType w:val="multilevel"/>
    <w:tmpl w:val="D6EA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6C77A7"/>
    <w:multiLevelType w:val="multilevel"/>
    <w:tmpl w:val="4690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E9751E"/>
    <w:multiLevelType w:val="multilevel"/>
    <w:tmpl w:val="994A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366EC"/>
    <w:multiLevelType w:val="multilevel"/>
    <w:tmpl w:val="726A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916C4E"/>
    <w:multiLevelType w:val="multilevel"/>
    <w:tmpl w:val="642E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227276"/>
    <w:multiLevelType w:val="multilevel"/>
    <w:tmpl w:val="DA92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081CC2"/>
    <w:multiLevelType w:val="multilevel"/>
    <w:tmpl w:val="DBA6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7D102F"/>
    <w:multiLevelType w:val="multilevel"/>
    <w:tmpl w:val="2BE4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7B0C01"/>
    <w:multiLevelType w:val="multilevel"/>
    <w:tmpl w:val="479A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5C7372"/>
    <w:multiLevelType w:val="hybridMultilevel"/>
    <w:tmpl w:val="27A89B4E"/>
    <w:lvl w:ilvl="0" w:tplc="091A9E60">
      <w:start w:val="1"/>
      <w:numFmt w:val="upperRoman"/>
      <w:lvlText w:val="%1."/>
      <w:lvlJc w:val="left"/>
      <w:pPr>
        <w:ind w:left="1080" w:hanging="720"/>
      </w:pPr>
      <w:rPr>
        <w:rFonts w:hint="default"/>
      </w:rPr>
    </w:lvl>
    <w:lvl w:ilvl="1" w:tplc="813091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C63E9"/>
    <w:multiLevelType w:val="multilevel"/>
    <w:tmpl w:val="6E86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7E0044"/>
    <w:multiLevelType w:val="multilevel"/>
    <w:tmpl w:val="A7BC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316655"/>
    <w:multiLevelType w:val="multilevel"/>
    <w:tmpl w:val="5208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6810CC"/>
    <w:multiLevelType w:val="hybridMultilevel"/>
    <w:tmpl w:val="1F927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373B19"/>
    <w:multiLevelType w:val="hybridMultilevel"/>
    <w:tmpl w:val="E62C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7A5C48"/>
    <w:multiLevelType w:val="multilevel"/>
    <w:tmpl w:val="0928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4E27B2"/>
    <w:multiLevelType w:val="multilevel"/>
    <w:tmpl w:val="31EE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295BDB"/>
    <w:multiLevelType w:val="multilevel"/>
    <w:tmpl w:val="6F50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F54244"/>
    <w:multiLevelType w:val="multilevel"/>
    <w:tmpl w:val="B4FE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732C84"/>
    <w:multiLevelType w:val="multilevel"/>
    <w:tmpl w:val="EE8C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F84A51"/>
    <w:multiLevelType w:val="multilevel"/>
    <w:tmpl w:val="A936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6"/>
  </w:num>
  <w:num w:numId="3">
    <w:abstractNumId w:val="22"/>
  </w:num>
  <w:num w:numId="4">
    <w:abstractNumId w:val="16"/>
  </w:num>
  <w:num w:numId="5">
    <w:abstractNumId w:val="17"/>
  </w:num>
  <w:num w:numId="6">
    <w:abstractNumId w:val="14"/>
  </w:num>
  <w:num w:numId="7">
    <w:abstractNumId w:val="5"/>
  </w:num>
  <w:num w:numId="8">
    <w:abstractNumId w:val="10"/>
  </w:num>
  <w:num w:numId="9">
    <w:abstractNumId w:val="9"/>
  </w:num>
  <w:num w:numId="10">
    <w:abstractNumId w:val="8"/>
  </w:num>
  <w:num w:numId="11">
    <w:abstractNumId w:val="11"/>
  </w:num>
  <w:num w:numId="12">
    <w:abstractNumId w:val="13"/>
  </w:num>
  <w:num w:numId="13">
    <w:abstractNumId w:val="18"/>
  </w:num>
  <w:num w:numId="14">
    <w:abstractNumId w:val="0"/>
  </w:num>
  <w:num w:numId="15">
    <w:abstractNumId w:val="15"/>
  </w:num>
  <w:num w:numId="16">
    <w:abstractNumId w:val="12"/>
  </w:num>
  <w:num w:numId="17">
    <w:abstractNumId w:val="24"/>
  </w:num>
  <w:num w:numId="18">
    <w:abstractNumId w:val="7"/>
  </w:num>
  <w:num w:numId="19">
    <w:abstractNumId w:val="21"/>
  </w:num>
  <w:num w:numId="20">
    <w:abstractNumId w:val="23"/>
  </w:num>
  <w:num w:numId="21">
    <w:abstractNumId w:val="1"/>
  </w:num>
  <w:num w:numId="22">
    <w:abstractNumId w:val="2"/>
  </w:num>
  <w:num w:numId="23">
    <w:abstractNumId w:val="4"/>
  </w:num>
  <w:num w:numId="24">
    <w:abstractNumId w:val="25"/>
  </w:num>
  <w:num w:numId="25">
    <w:abstractNumId w:val="20"/>
  </w:num>
  <w:num w:numId="26">
    <w:abstractNumId w:val="1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54C"/>
    <w:rsid w:val="001D112E"/>
    <w:rsid w:val="003539A0"/>
    <w:rsid w:val="004F754C"/>
    <w:rsid w:val="007A2161"/>
    <w:rsid w:val="00834AD5"/>
    <w:rsid w:val="0089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8D77D-1590-4F99-BE6D-5C2F0409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4C"/>
    <w:pPr>
      <w:ind w:left="720"/>
      <w:contextualSpacing/>
    </w:pPr>
  </w:style>
  <w:style w:type="paragraph" w:styleId="NormalWeb">
    <w:name w:val="Normal (Web)"/>
    <w:basedOn w:val="Normal"/>
    <w:uiPriority w:val="99"/>
    <w:unhideWhenUsed/>
    <w:rsid w:val="004F754C"/>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4F754C"/>
    <w:pPr>
      <w:spacing w:after="0" w:line="240" w:lineRule="auto"/>
    </w:pPr>
    <w:rPr>
      <w:rFonts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63220">
      <w:bodyDiv w:val="1"/>
      <w:marLeft w:val="0"/>
      <w:marRight w:val="0"/>
      <w:marTop w:val="0"/>
      <w:marBottom w:val="0"/>
      <w:divBdr>
        <w:top w:val="none" w:sz="0" w:space="0" w:color="auto"/>
        <w:left w:val="none" w:sz="0" w:space="0" w:color="auto"/>
        <w:bottom w:val="none" w:sz="0" w:space="0" w:color="auto"/>
        <w:right w:val="none" w:sz="0" w:space="0" w:color="auto"/>
      </w:divBdr>
    </w:div>
    <w:div w:id="19615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2026-01-20T13:38:00Z</dcterms:created>
  <dcterms:modified xsi:type="dcterms:W3CDTF">2026-01-21T02:17:00Z</dcterms:modified>
</cp:coreProperties>
</file>